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4879" w14:textId="398A4AEA" w:rsidR="00111CE3" w:rsidRDefault="00111CE3" w:rsidP="00954891">
      <w:pPr>
        <w:pStyle w:val="NormaleWeb"/>
        <w:spacing w:after="0" w:afterAutospacing="0"/>
        <w:jc w:val="center"/>
        <w:rPr>
          <w:rFonts w:asciiTheme="minorHAnsi" w:hAnsiTheme="minorHAnsi" w:cstheme="minorHAnsi"/>
          <w:bCs/>
          <w:caps/>
          <w:u w:val="single"/>
        </w:rPr>
      </w:pPr>
      <w:r>
        <w:rPr>
          <w:rFonts w:asciiTheme="minorHAnsi" w:hAnsiTheme="minorHAnsi" w:cstheme="minorHAnsi"/>
          <w:bCs/>
          <w:caps/>
          <w:noProof/>
          <w:u w:val="single"/>
          <w:lang w:eastAsia="it-IT"/>
        </w:rPr>
        <w:drawing>
          <wp:inline distT="0" distB="0" distL="0" distR="0" wp14:anchorId="00451C76" wp14:editId="43F75BE5">
            <wp:extent cx="1651000" cy="11191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641" cy="115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BC21" w14:textId="6E6622CF" w:rsidR="008C393D" w:rsidRPr="004C6D01" w:rsidRDefault="008C393D" w:rsidP="0035246F">
      <w:pPr>
        <w:pStyle w:val="NormaleWeb"/>
        <w:spacing w:after="0" w:afterAutospacing="0"/>
        <w:jc w:val="center"/>
        <w:rPr>
          <w:rFonts w:asciiTheme="minorHAnsi" w:hAnsiTheme="minorHAnsi" w:cstheme="minorHAnsi"/>
          <w:bCs/>
          <w:caps/>
          <w:sz w:val="28"/>
          <w:szCs w:val="28"/>
          <w:u w:val="single"/>
        </w:rPr>
      </w:pPr>
      <w:r w:rsidRPr="004C6D01">
        <w:rPr>
          <w:rFonts w:asciiTheme="minorHAnsi" w:hAnsiTheme="minorHAnsi" w:cstheme="minorHAnsi"/>
          <w:bCs/>
          <w:caps/>
          <w:sz w:val="28"/>
          <w:szCs w:val="28"/>
          <w:u w:val="single"/>
        </w:rPr>
        <w:t>COMUNICATO STAMPA</w:t>
      </w:r>
    </w:p>
    <w:p w14:paraId="6CE721FB" w14:textId="26879F37" w:rsidR="003F5593" w:rsidRPr="00B86D5D" w:rsidRDefault="003F5593" w:rsidP="00B86D5D">
      <w:pPr>
        <w:pStyle w:val="NormaleWeb"/>
        <w:spacing w:after="0" w:afterAutospacing="0"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  <w:r w:rsidRPr="003F5593">
        <w:rPr>
          <w:rFonts w:asciiTheme="minorHAnsi" w:hAnsiTheme="minorHAnsi" w:cstheme="minorHAnsi"/>
          <w:b/>
          <w:spacing w:val="-4"/>
          <w:sz w:val="36"/>
          <w:szCs w:val="36"/>
        </w:rPr>
        <w:t>SCUOLA</w:t>
      </w:r>
      <w:r w:rsidR="0035246F" w:rsidRPr="003F5593">
        <w:rPr>
          <w:rFonts w:asciiTheme="minorHAnsi" w:hAnsiTheme="minorHAnsi" w:cstheme="minorHAnsi"/>
          <w:b/>
          <w:spacing w:val="-4"/>
          <w:sz w:val="36"/>
          <w:szCs w:val="36"/>
        </w:rPr>
        <w:t xml:space="preserve">, INAPP: </w:t>
      </w:r>
      <w:r w:rsidRPr="003F5593">
        <w:rPr>
          <w:rFonts w:asciiTheme="minorHAnsi" w:hAnsiTheme="minorHAnsi" w:cstheme="minorHAnsi"/>
          <w:b/>
          <w:spacing w:val="-4"/>
          <w:sz w:val="36"/>
          <w:szCs w:val="36"/>
        </w:rPr>
        <w:t xml:space="preserve">“CON LA FORMAZIONE PROFESSIONALE 7 ALLIEVI SU 10 TROVANO LAVORO A 3 ANNI DAL DIPLOMA” </w:t>
      </w:r>
    </w:p>
    <w:p w14:paraId="633115AA" w14:textId="77777777" w:rsidR="00B86D5D" w:rsidRDefault="00B86D5D" w:rsidP="00B86D5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FBD85F2" w14:textId="446148C2" w:rsidR="00246A7B" w:rsidRPr="003F5593" w:rsidRDefault="003F5593" w:rsidP="003F5593">
      <w:pPr>
        <w:pStyle w:val="NormaleWeb"/>
        <w:spacing w:before="0" w:before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C</w:t>
      </w:r>
      <w:r w:rsidR="00031126" w:rsidRPr="003F5593">
        <w:rPr>
          <w:rFonts w:asciiTheme="minorHAnsi" w:hAnsiTheme="minorHAnsi" w:cstheme="minorHAnsi"/>
          <w:b/>
          <w:i/>
          <w:sz w:val="28"/>
          <w:szCs w:val="28"/>
        </w:rPr>
        <w:t xml:space="preserve">resce anche la partecipazione, in dieci anni </w:t>
      </w:r>
      <w:r w:rsidR="007C16BF" w:rsidRPr="003F5593">
        <w:rPr>
          <w:rFonts w:asciiTheme="minorHAnsi" w:hAnsiTheme="minorHAnsi" w:cstheme="minorHAnsi"/>
          <w:b/>
          <w:i/>
          <w:sz w:val="28"/>
          <w:szCs w:val="28"/>
        </w:rPr>
        <w:t>triplicati</w:t>
      </w:r>
      <w:r w:rsidR="008C393D" w:rsidRPr="003F55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031126" w:rsidRPr="003F5593">
        <w:rPr>
          <w:rFonts w:asciiTheme="minorHAnsi" w:hAnsiTheme="minorHAnsi" w:cstheme="minorHAnsi"/>
          <w:b/>
          <w:i/>
          <w:sz w:val="28"/>
          <w:szCs w:val="28"/>
        </w:rPr>
        <w:t xml:space="preserve">gli </w:t>
      </w:r>
      <w:r w:rsidR="00571339" w:rsidRPr="003F5593">
        <w:rPr>
          <w:rFonts w:asciiTheme="minorHAnsi" w:hAnsiTheme="minorHAnsi" w:cstheme="minorHAnsi"/>
          <w:b/>
          <w:i/>
          <w:sz w:val="28"/>
          <w:szCs w:val="28"/>
        </w:rPr>
        <w:t>iscritti</w:t>
      </w:r>
    </w:p>
    <w:p w14:paraId="2B7C3E57" w14:textId="12739E36" w:rsidR="00825FA1" w:rsidRPr="00954891" w:rsidRDefault="0020662E" w:rsidP="00954891">
      <w:pPr>
        <w:pStyle w:val="NormaleWeb"/>
        <w:jc w:val="both"/>
        <w:rPr>
          <w:rFonts w:asciiTheme="majorHAnsi" w:hAnsiTheme="majorHAnsi" w:cstheme="majorHAnsi"/>
          <w:b/>
          <w:caps/>
          <w:spacing w:val="-4"/>
        </w:rPr>
      </w:pPr>
      <w:r w:rsidRPr="00954891">
        <w:rPr>
          <w:rFonts w:asciiTheme="majorHAnsi" w:hAnsiTheme="majorHAnsi" w:cstheme="majorHAnsi"/>
          <w:b/>
          <w:caps/>
          <w:spacing w:val="-4"/>
        </w:rPr>
        <w:t xml:space="preserve">FaDDA: </w:t>
      </w:r>
      <w:r w:rsidR="00B85657" w:rsidRPr="003F5593">
        <w:rPr>
          <w:rFonts w:asciiTheme="majorHAnsi" w:hAnsiTheme="majorHAnsi" w:cstheme="majorHAnsi"/>
          <w:caps/>
          <w:spacing w:val="-4"/>
        </w:rPr>
        <w:t>“</w:t>
      </w:r>
      <w:r w:rsidR="004B1703" w:rsidRPr="00954891">
        <w:rPr>
          <w:rFonts w:asciiTheme="majorHAnsi" w:hAnsiTheme="majorHAnsi" w:cstheme="majorHAnsi"/>
          <w:i/>
          <w:iCs/>
          <w:spacing w:val="-4"/>
        </w:rPr>
        <w:t xml:space="preserve">Appare evidente come tali filiere non si trovino a vivere la criticità tipica di altre componenti del sistema educativo nazionale, il cui </w:t>
      </w:r>
      <w:r w:rsidR="004B1703" w:rsidRPr="00954891">
        <w:rPr>
          <w:rFonts w:asciiTheme="majorHAnsi" w:hAnsiTheme="majorHAnsi" w:cstheme="majorHAnsi"/>
          <w:i/>
          <w:iCs/>
          <w:color w:val="000000" w:themeColor="text1"/>
          <w:spacing w:val="-4"/>
        </w:rPr>
        <w:t xml:space="preserve">tradizionale </w:t>
      </w:r>
      <w:r w:rsidR="009D1922" w:rsidRPr="00954891">
        <w:rPr>
          <w:rFonts w:asciiTheme="majorHAnsi" w:hAnsiTheme="majorHAnsi" w:cstheme="majorHAnsi"/>
          <w:i/>
          <w:iCs/>
          <w:color w:val="000000" w:themeColor="text1"/>
          <w:spacing w:val="-4"/>
        </w:rPr>
        <w:t xml:space="preserve">limite </w:t>
      </w:r>
      <w:r w:rsidR="004B1703" w:rsidRPr="00954891">
        <w:rPr>
          <w:rFonts w:asciiTheme="majorHAnsi" w:hAnsiTheme="majorHAnsi" w:cstheme="majorHAnsi"/>
          <w:i/>
          <w:iCs/>
          <w:spacing w:val="-4"/>
        </w:rPr>
        <w:t>è costituito dalla debolezza del legame fra formazione e lavoro</w:t>
      </w:r>
      <w:r w:rsidRPr="00954891">
        <w:rPr>
          <w:rFonts w:asciiTheme="majorHAnsi" w:hAnsiTheme="majorHAnsi" w:cstheme="majorHAnsi"/>
          <w:i/>
          <w:iCs/>
          <w:spacing w:val="-4"/>
        </w:rPr>
        <w:t>.</w:t>
      </w:r>
      <w:r w:rsidR="004B1703" w:rsidRPr="00954891">
        <w:rPr>
          <w:rFonts w:asciiTheme="majorHAnsi" w:hAnsiTheme="majorHAnsi" w:cstheme="majorHAnsi"/>
          <w:i/>
          <w:iCs/>
          <w:spacing w:val="-4"/>
        </w:rPr>
        <w:t xml:space="preserve"> Al contrario, questo legame costituisce la principale chiave del successo di queste tipologie di percorsi. Il mondo imprenditoriale guarda infatti con grande attenzione a questi percorsi che costituiscono un bacino di reclutamento delle professionalità tecniche di livello iniziale e intermedio”</w:t>
      </w:r>
      <w:r w:rsidR="00B85657" w:rsidRPr="00954891">
        <w:rPr>
          <w:rFonts w:asciiTheme="majorHAnsi" w:hAnsiTheme="majorHAnsi" w:cstheme="majorHAnsi"/>
          <w:b/>
          <w:caps/>
          <w:spacing w:val="-4"/>
        </w:rPr>
        <w:t xml:space="preserve"> </w:t>
      </w:r>
    </w:p>
    <w:p w14:paraId="47328003" w14:textId="69366606" w:rsidR="00835887" w:rsidRPr="00E40B99" w:rsidRDefault="00533C8E" w:rsidP="0020662E">
      <w:pPr>
        <w:pStyle w:val="NormaleWeb"/>
        <w:spacing w:before="120" w:beforeAutospacing="0" w:after="0" w:afterAutospacing="0"/>
        <w:jc w:val="both"/>
        <w:rPr>
          <w:rFonts w:asciiTheme="majorHAnsi" w:hAnsiTheme="majorHAnsi" w:cstheme="majorHAnsi"/>
          <w:spacing w:val="-2"/>
          <w:sz w:val="23"/>
          <w:szCs w:val="23"/>
        </w:rPr>
      </w:pPr>
      <w:r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Roma, </w:t>
      </w:r>
      <w:r w:rsidR="00111CE3" w:rsidRPr="00E40B99">
        <w:rPr>
          <w:rFonts w:asciiTheme="majorHAnsi" w:hAnsiTheme="majorHAnsi" w:cstheme="majorHAnsi"/>
          <w:spacing w:val="-2"/>
          <w:sz w:val="23"/>
          <w:szCs w:val="23"/>
        </w:rPr>
        <w:t>1 settembre</w:t>
      </w:r>
      <w:r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 2021 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>–</w:t>
      </w:r>
      <w:r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A tre anni dal completamento del </w:t>
      </w:r>
      <w:r w:rsidR="007C16BF" w:rsidRPr="00E40B99">
        <w:rPr>
          <w:rFonts w:asciiTheme="majorHAnsi" w:hAnsiTheme="majorHAnsi" w:cstheme="majorHAnsi"/>
          <w:spacing w:val="-2"/>
          <w:sz w:val="23"/>
          <w:szCs w:val="23"/>
        </w:rPr>
        <w:t>per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corso di Istruzione e formazione professionale (IeFP) lavora </w:t>
      </w:r>
      <w:r w:rsidR="000A3660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il 69,2% dei diplomati e 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il 62,2% dei qualificati, con un tasso di coerenza dell’occupazione rispetto al percorso formativo del </w:t>
      </w:r>
      <w:r w:rsidR="000A3660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76% tra i diplomati e del 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>72% tra i qualificati</w:t>
      </w:r>
      <w:r w:rsidR="000A3660" w:rsidRPr="00E40B99">
        <w:rPr>
          <w:rFonts w:asciiTheme="majorHAnsi" w:hAnsiTheme="majorHAnsi" w:cstheme="majorHAnsi"/>
          <w:spacing w:val="-2"/>
          <w:sz w:val="23"/>
          <w:szCs w:val="23"/>
        </w:rPr>
        <w:t>.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 A due anni di distanza dal conseguimento della specializzazione </w:t>
      </w:r>
      <w:r w:rsidR="000A3660" w:rsidRPr="00E40B99">
        <w:rPr>
          <w:rFonts w:asciiTheme="majorHAnsi" w:hAnsiTheme="majorHAnsi" w:cstheme="majorHAnsi"/>
          <w:spacing w:val="-2"/>
          <w:sz w:val="23"/>
          <w:szCs w:val="23"/>
        </w:rPr>
        <w:t>con l’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Istruzione e formazione tecnica superiore (IFTS) la quota di occupati è del 64%. L’80% di coloro che lavorano ha trovato occupazione entro un anno dalla fine del corso. </w:t>
      </w:r>
      <w:r w:rsidR="00B34CF8" w:rsidRPr="00E40B99">
        <w:rPr>
          <w:rFonts w:asciiTheme="majorHAnsi" w:hAnsiTheme="majorHAnsi" w:cstheme="majorHAnsi"/>
          <w:spacing w:val="-2"/>
          <w:sz w:val="23"/>
          <w:szCs w:val="23"/>
        </w:rPr>
        <w:t>I</w:t>
      </w:r>
      <w:r w:rsidR="00890A4B" w:rsidRPr="00E40B99">
        <w:rPr>
          <w:rFonts w:asciiTheme="majorHAnsi" w:hAnsiTheme="majorHAnsi" w:cstheme="majorHAnsi"/>
          <w:spacing w:val="-2"/>
          <w:sz w:val="23"/>
          <w:szCs w:val="23"/>
        </w:rPr>
        <w:t>l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 tasso di occupazione a un anno dal diploma</w:t>
      </w:r>
      <w:r w:rsidR="00890A4B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="00B34CF8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per gli Istituti tecnici superiori (ITS) </w:t>
      </w:r>
      <w:r w:rsidR="00890A4B" w:rsidRPr="00E40B99">
        <w:rPr>
          <w:rFonts w:asciiTheme="majorHAnsi" w:hAnsiTheme="majorHAnsi" w:cstheme="majorHAnsi"/>
          <w:spacing w:val="-2"/>
          <w:sz w:val="23"/>
          <w:szCs w:val="23"/>
        </w:rPr>
        <w:t>è dell’83%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>, con una coerenza tra percorso formativo e occupazione del 92%.</w:t>
      </w:r>
      <w:r w:rsidR="00890A4B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="00835887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È quanto emerge dal Rapporto </w:t>
      </w:r>
      <w:r w:rsidR="000A3660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realizzato </w:t>
      </w:r>
      <w:r w:rsidR="00B85657" w:rsidRPr="00E40B99">
        <w:rPr>
          <w:rFonts w:asciiTheme="majorHAnsi" w:hAnsiTheme="majorHAnsi" w:cstheme="majorHAnsi"/>
          <w:spacing w:val="-2"/>
          <w:sz w:val="23"/>
          <w:szCs w:val="23"/>
        </w:rPr>
        <w:t>dall’Inapp (</w:t>
      </w:r>
      <w:r w:rsidR="004B1703" w:rsidRPr="00E40B99">
        <w:rPr>
          <w:rFonts w:asciiTheme="majorHAnsi" w:hAnsiTheme="majorHAnsi" w:cstheme="majorHAnsi"/>
          <w:spacing w:val="-2"/>
          <w:sz w:val="23"/>
          <w:szCs w:val="23"/>
        </w:rPr>
        <w:t xml:space="preserve">Istituto Nazionale per l’Analisi delle Politiche Pubbliche).  </w:t>
      </w:r>
    </w:p>
    <w:p w14:paraId="287D501F" w14:textId="3570F931" w:rsidR="00E12238" w:rsidRPr="00E40B99" w:rsidRDefault="00E12238" w:rsidP="0020662E">
      <w:pPr>
        <w:pStyle w:val="NormaleWeb"/>
        <w:spacing w:before="120" w:beforeAutospacing="0" w:after="0" w:afterAutospacing="0"/>
        <w:jc w:val="both"/>
        <w:rPr>
          <w:rFonts w:asciiTheme="majorHAnsi" w:hAnsiTheme="majorHAnsi" w:cstheme="majorHAnsi"/>
          <w:sz w:val="23"/>
          <w:szCs w:val="23"/>
        </w:rPr>
      </w:pPr>
      <w:r w:rsidRPr="00E40B99">
        <w:rPr>
          <w:rFonts w:asciiTheme="majorHAnsi" w:hAnsiTheme="majorHAnsi" w:cstheme="majorHAnsi"/>
          <w:sz w:val="23"/>
          <w:szCs w:val="23"/>
        </w:rPr>
        <w:t>“Appare evidente come tali filiere non si trovino a vivere la criticità tipica di altre componenti del sistema educativo nazionale, il cui tradizionale</w:t>
      </w:r>
      <w:r w:rsidR="00BE6D03" w:rsidRPr="00E40B99">
        <w:rPr>
          <w:rFonts w:asciiTheme="majorHAnsi" w:hAnsiTheme="majorHAnsi" w:cstheme="majorHAnsi"/>
          <w:sz w:val="23"/>
          <w:szCs w:val="23"/>
        </w:rPr>
        <w:t xml:space="preserve"> </w:t>
      </w:r>
      <w:r w:rsidR="009D1922" w:rsidRPr="00E40B99">
        <w:rPr>
          <w:rFonts w:asciiTheme="majorHAnsi" w:hAnsiTheme="majorHAnsi" w:cstheme="majorHAnsi"/>
          <w:color w:val="000000" w:themeColor="text1"/>
          <w:sz w:val="23"/>
          <w:szCs w:val="23"/>
        </w:rPr>
        <w:t>limite</w:t>
      </w:r>
      <w:r w:rsidRPr="00E40B99">
        <w:rPr>
          <w:rFonts w:asciiTheme="majorHAnsi" w:hAnsiTheme="majorHAnsi" w:cstheme="majorHAnsi"/>
          <w:sz w:val="23"/>
          <w:szCs w:val="23"/>
        </w:rPr>
        <w:t xml:space="preserve"> è costituito dalla debolezza del legame fra formazione e lavoro” </w:t>
      </w:r>
      <w:r w:rsidR="00DE0213" w:rsidRPr="00E40B99">
        <w:rPr>
          <w:rFonts w:asciiTheme="majorHAnsi" w:hAnsiTheme="majorHAnsi" w:cstheme="majorHAnsi"/>
          <w:sz w:val="23"/>
          <w:szCs w:val="23"/>
        </w:rPr>
        <w:t>–</w:t>
      </w:r>
      <w:r w:rsidRPr="00E40B99">
        <w:rPr>
          <w:rFonts w:asciiTheme="majorHAnsi" w:hAnsiTheme="majorHAnsi" w:cstheme="majorHAnsi"/>
          <w:sz w:val="23"/>
          <w:szCs w:val="23"/>
        </w:rPr>
        <w:t xml:space="preserve"> osserva </w:t>
      </w:r>
      <w:r w:rsidR="007C16BF" w:rsidRPr="00E40B99">
        <w:rPr>
          <w:rFonts w:asciiTheme="majorHAnsi" w:hAnsiTheme="majorHAnsi" w:cstheme="majorHAnsi"/>
          <w:sz w:val="23"/>
          <w:szCs w:val="23"/>
        </w:rPr>
        <w:t xml:space="preserve">il </w:t>
      </w:r>
      <w:r w:rsidR="007C16BF" w:rsidRPr="00E40B99">
        <w:rPr>
          <w:rFonts w:asciiTheme="majorHAnsi" w:hAnsiTheme="majorHAnsi" w:cstheme="majorHAnsi"/>
          <w:b/>
          <w:bCs/>
          <w:sz w:val="23"/>
          <w:szCs w:val="23"/>
        </w:rPr>
        <w:t xml:space="preserve">prof. </w:t>
      </w:r>
      <w:r w:rsidRPr="00E40B99">
        <w:rPr>
          <w:rFonts w:asciiTheme="majorHAnsi" w:hAnsiTheme="majorHAnsi" w:cstheme="majorHAnsi"/>
          <w:b/>
          <w:bCs/>
          <w:sz w:val="23"/>
          <w:szCs w:val="23"/>
        </w:rPr>
        <w:t>Sebastiano Fadda, Presidente dell’Inapp</w:t>
      </w:r>
      <w:r w:rsidRPr="00E40B99">
        <w:rPr>
          <w:rFonts w:asciiTheme="majorHAnsi" w:hAnsiTheme="majorHAnsi" w:cstheme="majorHAnsi"/>
          <w:sz w:val="23"/>
          <w:szCs w:val="23"/>
        </w:rPr>
        <w:t xml:space="preserve"> – Al contrario, questo legame costituisce la principale chiave del successo di queste tipologie di percorsi. Il mondo imprenditoriale guarda infatti con grande attenzione a questi percorsi che costituiscono un bacino di reclutamento delle professionalità tecniche di livello iniziale e intermedio.”</w:t>
      </w:r>
    </w:p>
    <w:p w14:paraId="0326512A" w14:textId="57E4CBB7" w:rsidR="0020662E" w:rsidRPr="00E40B99" w:rsidRDefault="00890A4B" w:rsidP="0020662E">
      <w:pPr>
        <w:pStyle w:val="NormaleWeb"/>
        <w:spacing w:before="120" w:beforeAutospacing="0" w:after="0" w:afterAutospacing="0"/>
        <w:jc w:val="both"/>
        <w:rPr>
          <w:rFonts w:asciiTheme="majorHAnsi" w:hAnsiTheme="majorHAnsi" w:cstheme="majorHAnsi"/>
          <w:sz w:val="23"/>
          <w:szCs w:val="23"/>
        </w:rPr>
      </w:pPr>
      <w:r w:rsidRPr="00E40B99">
        <w:rPr>
          <w:rFonts w:asciiTheme="majorHAnsi" w:hAnsiTheme="majorHAnsi" w:cstheme="majorHAnsi"/>
          <w:sz w:val="23"/>
          <w:szCs w:val="23"/>
        </w:rPr>
        <w:t>Da un punto di vista lavorativo, dunque, la</w:t>
      </w:r>
      <w:r w:rsidR="003D35B0" w:rsidRPr="00E40B99">
        <w:rPr>
          <w:rFonts w:asciiTheme="majorHAnsi" w:hAnsiTheme="majorHAnsi" w:cstheme="majorHAnsi"/>
          <w:sz w:val="23"/>
          <w:szCs w:val="23"/>
        </w:rPr>
        <w:t xml:space="preserve"> </w:t>
      </w:r>
      <w:r w:rsidR="00246A7B" w:rsidRPr="00E40B99">
        <w:rPr>
          <w:rFonts w:asciiTheme="majorHAnsi" w:hAnsiTheme="majorHAnsi" w:cstheme="majorHAnsi"/>
          <w:i/>
          <w:sz w:val="23"/>
          <w:szCs w:val="23"/>
        </w:rPr>
        <w:t>filiera lunga</w:t>
      </w:r>
      <w:r w:rsidR="00246A7B" w:rsidRPr="00E40B99">
        <w:rPr>
          <w:rFonts w:asciiTheme="majorHAnsi" w:hAnsiTheme="majorHAnsi" w:cstheme="majorHAnsi"/>
          <w:sz w:val="23"/>
          <w:szCs w:val="23"/>
        </w:rPr>
        <w:t xml:space="preserve"> della formazione tecnico professionale</w:t>
      </w:r>
      <w:r w:rsidRPr="00E40B99">
        <w:rPr>
          <w:rFonts w:asciiTheme="majorHAnsi" w:hAnsiTheme="majorHAnsi" w:cstheme="majorHAnsi"/>
          <w:sz w:val="23"/>
          <w:szCs w:val="23"/>
        </w:rPr>
        <w:t xml:space="preserve"> sembra funzionare. Tale </w:t>
      </w:r>
      <w:r w:rsidR="003D35B0" w:rsidRPr="00E40B99">
        <w:rPr>
          <w:rFonts w:asciiTheme="majorHAnsi" w:hAnsiTheme="majorHAnsi" w:cstheme="majorHAnsi"/>
          <w:sz w:val="23"/>
          <w:szCs w:val="23"/>
        </w:rPr>
        <w:t>sistema</w:t>
      </w:r>
      <w:r w:rsidR="000A3660" w:rsidRPr="00E40B99">
        <w:rPr>
          <w:rFonts w:asciiTheme="majorHAnsi" w:hAnsiTheme="majorHAnsi" w:cstheme="majorHAnsi"/>
          <w:sz w:val="23"/>
          <w:szCs w:val="23"/>
        </w:rPr>
        <w:t>,</w:t>
      </w:r>
      <w:r w:rsidR="003D35B0" w:rsidRPr="00E40B99">
        <w:rPr>
          <w:rFonts w:asciiTheme="majorHAnsi" w:hAnsiTheme="majorHAnsi" w:cstheme="majorHAnsi"/>
          <w:sz w:val="23"/>
          <w:szCs w:val="23"/>
        </w:rPr>
        <w:t xml:space="preserve"> </w:t>
      </w:r>
      <w:r w:rsidR="000A3660" w:rsidRPr="00E40B99">
        <w:rPr>
          <w:rFonts w:asciiTheme="majorHAnsi" w:hAnsiTheme="majorHAnsi" w:cstheme="majorHAnsi"/>
          <w:sz w:val="23"/>
          <w:szCs w:val="23"/>
        </w:rPr>
        <w:t xml:space="preserve">che costituisce un binario parallelo e distinto da quello dell’istruzione, </w:t>
      </w:r>
      <w:r w:rsidR="003D35B0" w:rsidRPr="00E40B99">
        <w:rPr>
          <w:rFonts w:asciiTheme="majorHAnsi" w:hAnsiTheme="majorHAnsi" w:cstheme="majorHAnsi"/>
          <w:sz w:val="23"/>
          <w:szCs w:val="23"/>
        </w:rPr>
        <w:t>include</w:t>
      </w:r>
      <w:r w:rsidR="00246A7B" w:rsidRPr="00E40B99">
        <w:rPr>
          <w:rFonts w:asciiTheme="majorHAnsi" w:hAnsiTheme="majorHAnsi" w:cstheme="majorHAnsi"/>
          <w:sz w:val="23"/>
          <w:szCs w:val="23"/>
        </w:rPr>
        <w:t>:</w:t>
      </w:r>
      <w:r w:rsidR="003D35B0" w:rsidRPr="00E40B99">
        <w:rPr>
          <w:rFonts w:asciiTheme="majorHAnsi" w:hAnsiTheme="majorHAnsi" w:cstheme="majorHAnsi"/>
          <w:sz w:val="23"/>
          <w:szCs w:val="23"/>
        </w:rPr>
        <w:t xml:space="preserve"> i percorsi triennali e quadriennali della IeFP per il rilascio di qualifiche e diplomi su figure tecnico-operative, i corsi annuali di specializzazione degli IFTS e quelli biennali o triennali di specializzazione degli ITS.</w:t>
      </w:r>
      <w:r w:rsidR="00246A7B" w:rsidRPr="00E40B9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CD123E0" w14:textId="0056D0EA" w:rsidR="00954891" w:rsidRPr="00E40B99" w:rsidRDefault="003D35B0" w:rsidP="0020662E">
      <w:pPr>
        <w:pStyle w:val="NormaleWeb"/>
        <w:spacing w:before="120" w:beforeAutospacing="0" w:after="0" w:afterAutospacing="0"/>
        <w:jc w:val="both"/>
        <w:rPr>
          <w:rFonts w:asciiTheme="majorHAnsi" w:hAnsiTheme="majorHAnsi" w:cstheme="majorHAnsi"/>
          <w:sz w:val="23"/>
          <w:szCs w:val="23"/>
        </w:rPr>
      </w:pPr>
      <w:r w:rsidRPr="00E40B99">
        <w:rPr>
          <w:rFonts w:asciiTheme="majorHAnsi" w:hAnsiTheme="majorHAnsi" w:cstheme="majorHAnsi"/>
          <w:sz w:val="23"/>
          <w:szCs w:val="23"/>
        </w:rPr>
        <w:t xml:space="preserve">Al successo occupazionale del percorso formativo fa </w:t>
      </w:r>
      <w:r w:rsidR="00251A60" w:rsidRPr="00E40B99">
        <w:rPr>
          <w:rFonts w:asciiTheme="majorHAnsi" w:hAnsiTheme="majorHAnsi" w:cstheme="majorHAnsi"/>
          <w:sz w:val="23"/>
          <w:szCs w:val="23"/>
        </w:rPr>
        <w:t xml:space="preserve">eco una crescente partecipazione. </w:t>
      </w:r>
      <w:r w:rsidR="00DE0213" w:rsidRPr="00E40B99">
        <w:rPr>
          <w:rFonts w:asciiTheme="majorHAnsi" w:hAnsiTheme="majorHAnsi" w:cstheme="majorHAnsi"/>
          <w:sz w:val="23"/>
          <w:szCs w:val="23"/>
        </w:rPr>
        <w:t>I</w:t>
      </w:r>
      <w:r w:rsidR="00890A4B" w:rsidRPr="00E40B99">
        <w:rPr>
          <w:rFonts w:asciiTheme="majorHAnsi" w:hAnsiTheme="majorHAnsi" w:cstheme="majorHAnsi"/>
          <w:sz w:val="23"/>
          <w:szCs w:val="23"/>
        </w:rPr>
        <w:t xml:space="preserve">l sistema IeFP ha visto quasi triplicare la partecipazione degli utenti, tra percorsi realizzati nell’ambito dei centri accreditati e percorsi erogati dagli istituti professionali in regime cosiddetto di ‘sussidiarietà’. Si è passati infatti dai 107mila allievi nell’anno formativo 2009-10 (nei soli centri accreditati) per arrivare, con l’avvento dei percorsi IeFP negli istituti professionali, a 348mila nell’a.f. 2014-15, fino a rimbalzare a 288mila iscritti nel 2018-19. Altri numeri per i percorsi IFTS e ITS che si collocano, per numero di annualità, livello di specializzazione e diffusione territoriale, a livelli assai più contenuti: 3.976 allievi/e per i corsi IFTS e 4.606 per i corsi ITS terminati nel 2018. </w:t>
      </w:r>
    </w:p>
    <w:p w14:paraId="1A27052D" w14:textId="0CA05025" w:rsidR="00533C8E" w:rsidRPr="00E40B99" w:rsidRDefault="00031126" w:rsidP="0020662E">
      <w:pPr>
        <w:pStyle w:val="NormaleWeb"/>
        <w:spacing w:before="12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E40B99">
        <w:rPr>
          <w:rFonts w:asciiTheme="majorHAnsi" w:hAnsiTheme="majorHAnsi" w:cstheme="majorHAnsi"/>
          <w:sz w:val="23"/>
          <w:szCs w:val="23"/>
        </w:rPr>
        <w:lastRenderedPageBreak/>
        <w:t>“</w:t>
      </w:r>
      <w:r w:rsidR="00533C8E" w:rsidRPr="00E40B99">
        <w:rPr>
          <w:rFonts w:asciiTheme="majorHAnsi" w:hAnsiTheme="majorHAnsi" w:cstheme="majorHAnsi"/>
          <w:sz w:val="23"/>
          <w:szCs w:val="23"/>
        </w:rPr>
        <w:t>Ma non è tutto oro ciò che luccica</w:t>
      </w:r>
      <w:r w:rsidRPr="00E40B99">
        <w:rPr>
          <w:rFonts w:asciiTheme="majorHAnsi" w:hAnsiTheme="majorHAnsi" w:cstheme="majorHAnsi"/>
          <w:sz w:val="23"/>
          <w:szCs w:val="23"/>
        </w:rPr>
        <w:t xml:space="preserve"> – sottolinea Fadda</w:t>
      </w:r>
      <w:r w:rsidR="007C16BF" w:rsidRPr="00E40B99">
        <w:rPr>
          <w:rFonts w:asciiTheme="majorHAnsi" w:hAnsiTheme="majorHAnsi" w:cstheme="majorHAnsi"/>
          <w:sz w:val="23"/>
          <w:szCs w:val="23"/>
        </w:rPr>
        <w:t xml:space="preserve"> </w:t>
      </w:r>
      <w:r w:rsidRPr="00E40B99">
        <w:rPr>
          <w:rFonts w:asciiTheme="majorHAnsi" w:hAnsiTheme="majorHAnsi" w:cstheme="majorHAnsi"/>
          <w:sz w:val="23"/>
          <w:szCs w:val="23"/>
        </w:rPr>
        <w:t>- L</w:t>
      </w:r>
      <w:r w:rsidR="00533C8E" w:rsidRPr="00E40B99">
        <w:rPr>
          <w:rFonts w:asciiTheme="majorHAnsi" w:hAnsiTheme="majorHAnsi" w:cstheme="majorHAnsi"/>
          <w:sz w:val="23"/>
          <w:szCs w:val="23"/>
        </w:rPr>
        <w:t>’efficacia nel rispondere alle richieste del mondo del lavoro è data in gran parte dalla capacità delle amministrazioni e dei progettisti di formazione di</w:t>
      </w:r>
      <w:r w:rsidR="009D1922" w:rsidRPr="00E40B99">
        <w:rPr>
          <w:rFonts w:asciiTheme="majorHAnsi" w:hAnsiTheme="majorHAnsi" w:cstheme="majorHAnsi"/>
          <w:color w:val="FF0000"/>
          <w:sz w:val="23"/>
          <w:szCs w:val="23"/>
        </w:rPr>
        <w:t xml:space="preserve"> </w:t>
      </w:r>
      <w:r w:rsidR="009D1922" w:rsidRPr="00E40B99">
        <w:rPr>
          <w:rFonts w:asciiTheme="majorHAnsi" w:hAnsiTheme="majorHAnsi" w:cstheme="majorHAnsi"/>
          <w:color w:val="000000" w:themeColor="text1"/>
          <w:sz w:val="23"/>
          <w:szCs w:val="23"/>
        </w:rPr>
        <w:t>rilevare</w:t>
      </w:r>
      <w:r w:rsidR="00533C8E" w:rsidRPr="00E40B9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533C8E" w:rsidRPr="00E40B99">
        <w:rPr>
          <w:rFonts w:asciiTheme="majorHAnsi" w:hAnsiTheme="majorHAnsi" w:cstheme="majorHAnsi"/>
          <w:sz w:val="23"/>
          <w:szCs w:val="23"/>
        </w:rPr>
        <w:t>i fabbisogni di competenze dei territori attraverso analisi mirate che permettano la definizione tempestiva dei profili in uscita dalla filiera lung</w:t>
      </w:r>
      <w:r w:rsidR="009D1922" w:rsidRPr="00E40B99">
        <w:rPr>
          <w:rFonts w:asciiTheme="majorHAnsi" w:hAnsiTheme="majorHAnsi" w:cstheme="majorHAnsi"/>
          <w:sz w:val="23"/>
          <w:szCs w:val="23"/>
        </w:rPr>
        <w:t>a</w:t>
      </w:r>
      <w:r w:rsidR="00533C8E" w:rsidRPr="00E40B99">
        <w:rPr>
          <w:rFonts w:asciiTheme="majorHAnsi" w:hAnsiTheme="majorHAnsi" w:cstheme="majorHAnsi"/>
          <w:sz w:val="23"/>
          <w:szCs w:val="23"/>
        </w:rPr>
        <w:t xml:space="preserve"> in sintonia con i rapidi mutamenti del mercato nazionale e locale. Sebbene recentemente rivisto, l’aggiornamento del repertorio sconta un pesante ritardo, a causa della complessità nel trovare un minimo comun denominatore che abbia validità nazionale e sia, al contempo, in grado di intercettare i fabbisogni di 21 diverse realtà (Regioni e Province autonome)</w:t>
      </w:r>
      <w:r w:rsidR="009D1922" w:rsidRPr="00E40B99">
        <w:rPr>
          <w:rFonts w:asciiTheme="majorHAnsi" w:hAnsiTheme="majorHAnsi" w:cstheme="majorHAnsi"/>
          <w:sz w:val="23"/>
          <w:szCs w:val="23"/>
        </w:rPr>
        <w:t xml:space="preserve">. </w:t>
      </w:r>
      <w:r w:rsidR="009D1922" w:rsidRPr="00E40B9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L’analisi dell’evoluzione dei fabbisogni professionali e formativi, nella quale si cimentano diverse istituzioni che adottano diverse metodologie, ha bisogno di essere perfezionata e </w:t>
      </w:r>
      <w:r w:rsidR="00C67CCA" w:rsidRPr="00E40B99">
        <w:rPr>
          <w:rFonts w:asciiTheme="majorHAnsi" w:hAnsiTheme="majorHAnsi" w:cstheme="majorHAnsi"/>
          <w:color w:val="000000" w:themeColor="text1"/>
          <w:sz w:val="23"/>
          <w:szCs w:val="23"/>
        </w:rPr>
        <w:t>resa fruibile da parte degli operatori della formazione e dell’orientamento, oltre che degli stessi soggetti che devono scegliere i propri percorsi formativi</w:t>
      </w:r>
      <w:r w:rsidR="00533C8E" w:rsidRPr="00E40B99">
        <w:rPr>
          <w:rFonts w:asciiTheme="majorHAnsi" w:hAnsiTheme="majorHAnsi" w:cstheme="majorHAnsi"/>
          <w:color w:val="000000" w:themeColor="text1"/>
          <w:sz w:val="23"/>
          <w:szCs w:val="23"/>
        </w:rPr>
        <w:t>”.</w:t>
      </w:r>
    </w:p>
    <w:p w14:paraId="0D166BB5" w14:textId="20A31610" w:rsidR="00B85657" w:rsidRPr="00E40B99" w:rsidRDefault="00533C8E" w:rsidP="0020662E">
      <w:pPr>
        <w:pStyle w:val="NormaleWeb"/>
        <w:spacing w:before="12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E40B99">
        <w:rPr>
          <w:rFonts w:asciiTheme="majorHAnsi" w:hAnsiTheme="majorHAnsi" w:cstheme="majorHAnsi"/>
          <w:sz w:val="23"/>
          <w:szCs w:val="23"/>
        </w:rPr>
        <w:t>Inoltre, il sistema di IeFP, proprio perché in capo alle Regioni, nasce e si sviluppa in maniera non omogenea sul territorio nazionale, secondo le scelte di politica formativa delle diverse amministrazioni. Mentre nel Nord imprenditoriale, dove esiste una forte domanda di operatori e tecnici da parte delle imprese e una presenza consolidata di centri di formazione professionali, le amministrazioni hanno sostenuto robustamente tali percorsi favorendo la crescita della partecipazione, nelle regioni del Centro e del Sud si è preferito promuovere i percorsi IeFP realizzati dagli istituti professionali in regime di sussidiarietà integrativa.</w:t>
      </w:r>
      <w:r w:rsidR="00B85657" w:rsidRPr="00E40B99">
        <w:rPr>
          <w:rFonts w:asciiTheme="majorHAnsi" w:hAnsiTheme="majorHAnsi" w:cstheme="majorHAnsi"/>
          <w:sz w:val="23"/>
          <w:szCs w:val="23"/>
        </w:rPr>
        <w:t xml:space="preserve"> </w:t>
      </w:r>
      <w:r w:rsidRPr="00E40B99">
        <w:rPr>
          <w:rFonts w:asciiTheme="majorHAnsi" w:hAnsiTheme="majorHAnsi" w:cstheme="majorHAnsi"/>
          <w:sz w:val="23"/>
          <w:szCs w:val="23"/>
        </w:rPr>
        <w:t>Questa disomogeneità dell’offerta, se risponde alle diverse politiche formative adottate dalle amministrazioni, appare assai poco in linea con i dettami costituzionali di pari opportunità formative per i giovani sul territorio nazionale</w:t>
      </w:r>
      <w:r w:rsidR="00C67CCA" w:rsidRPr="00E40B99">
        <w:rPr>
          <w:rFonts w:asciiTheme="majorHAnsi" w:hAnsiTheme="majorHAnsi" w:cstheme="majorHAnsi"/>
          <w:sz w:val="23"/>
          <w:szCs w:val="23"/>
        </w:rPr>
        <w:t xml:space="preserve"> </w:t>
      </w:r>
      <w:r w:rsidR="00C67CCA" w:rsidRPr="00E40B99">
        <w:rPr>
          <w:rFonts w:asciiTheme="majorHAnsi" w:hAnsiTheme="majorHAnsi" w:cstheme="majorHAnsi"/>
          <w:color w:val="000000" w:themeColor="text1"/>
          <w:sz w:val="23"/>
          <w:szCs w:val="23"/>
        </w:rPr>
        <w:t>e richiede comunque un miglioramento della governance nel senso di una maggiore integrazione tra i diversi soggetti istituzionali operanti in questo campo.</w:t>
      </w:r>
    </w:p>
    <w:p w14:paraId="17B154C7" w14:textId="1D9949B2" w:rsidR="005A19ED" w:rsidRPr="00E40B99" w:rsidRDefault="00533C8E" w:rsidP="0020662E">
      <w:pPr>
        <w:pStyle w:val="NormaleWeb"/>
        <w:spacing w:before="120" w:beforeAutospacing="0" w:after="0" w:afterAutospacing="0"/>
        <w:jc w:val="both"/>
        <w:rPr>
          <w:rFonts w:asciiTheme="majorHAnsi" w:hAnsiTheme="majorHAnsi" w:cstheme="majorHAnsi"/>
          <w:sz w:val="23"/>
          <w:szCs w:val="23"/>
        </w:rPr>
      </w:pPr>
      <w:r w:rsidRPr="00E40B99">
        <w:rPr>
          <w:rFonts w:asciiTheme="majorHAnsi" w:hAnsiTheme="majorHAnsi" w:cstheme="majorHAnsi"/>
          <w:sz w:val="23"/>
          <w:szCs w:val="23"/>
        </w:rPr>
        <w:t>Sia a livello nazionale che a livello regionale</w:t>
      </w:r>
      <w:r w:rsidR="00B85657" w:rsidRPr="00E40B99">
        <w:rPr>
          <w:rFonts w:asciiTheme="majorHAnsi" w:hAnsiTheme="majorHAnsi" w:cstheme="majorHAnsi"/>
          <w:sz w:val="23"/>
          <w:szCs w:val="23"/>
        </w:rPr>
        <w:t xml:space="preserve"> </w:t>
      </w:r>
      <w:r w:rsidRPr="00E40B99">
        <w:rPr>
          <w:rFonts w:asciiTheme="majorHAnsi" w:hAnsiTheme="majorHAnsi" w:cstheme="majorHAnsi"/>
          <w:sz w:val="23"/>
          <w:szCs w:val="23"/>
        </w:rPr>
        <w:t>appare necessario definire procedure pi</w:t>
      </w:r>
      <w:r w:rsidR="00353750" w:rsidRPr="00E40B99">
        <w:rPr>
          <w:rFonts w:asciiTheme="majorHAnsi" w:hAnsiTheme="majorHAnsi" w:cstheme="majorHAnsi"/>
          <w:sz w:val="23"/>
          <w:szCs w:val="23"/>
        </w:rPr>
        <w:t>ù</w:t>
      </w:r>
      <w:r w:rsidRPr="00E40B99">
        <w:rPr>
          <w:rFonts w:asciiTheme="majorHAnsi" w:hAnsiTheme="majorHAnsi" w:cstheme="majorHAnsi"/>
          <w:sz w:val="23"/>
          <w:szCs w:val="23"/>
        </w:rPr>
        <w:t xml:space="preserve"> snelle, e soprattutto continuative e non episodiche, di aggiornamento dei repertori delle filiere formative, per non lasciar correre tempo prezioso tra l’evoluzione della domanda delle figure professionali e il rinnovamento dell’offerta formativa. Il lavoro svolto dai diversi attori coinvolti (Ministero del Lavoro e delle politiche sociali, Regioni, Ministero dell’Istruzione) testimonia comunque una crescente consapevolezza della funzione che la formazione professionale pu</w:t>
      </w:r>
      <w:r w:rsidR="00353750" w:rsidRPr="00E40B99">
        <w:rPr>
          <w:rFonts w:asciiTheme="majorHAnsi" w:hAnsiTheme="majorHAnsi" w:cstheme="majorHAnsi"/>
          <w:sz w:val="23"/>
          <w:szCs w:val="23"/>
        </w:rPr>
        <w:t>ò</w:t>
      </w:r>
      <w:r w:rsidRPr="00E40B99">
        <w:rPr>
          <w:rFonts w:asciiTheme="majorHAnsi" w:hAnsiTheme="majorHAnsi" w:cstheme="majorHAnsi"/>
          <w:sz w:val="23"/>
          <w:szCs w:val="23"/>
        </w:rPr>
        <w:t xml:space="preserve"> giocare sia nei percorsi individuali di acquisizione di conoscenze e competenze, che nel supportare la competitivit</w:t>
      </w:r>
      <w:r w:rsidR="00353750" w:rsidRPr="00E40B99">
        <w:rPr>
          <w:rFonts w:asciiTheme="majorHAnsi" w:hAnsiTheme="majorHAnsi" w:cstheme="majorHAnsi"/>
          <w:sz w:val="23"/>
          <w:szCs w:val="23"/>
        </w:rPr>
        <w:t>à</w:t>
      </w:r>
      <w:r w:rsidRPr="00E40B99">
        <w:rPr>
          <w:rFonts w:asciiTheme="majorHAnsi" w:hAnsiTheme="majorHAnsi" w:cstheme="majorHAnsi"/>
          <w:sz w:val="23"/>
          <w:szCs w:val="23"/>
        </w:rPr>
        <w:t xml:space="preserve"> del sistema economico, la partecipazione democratica e la coesione sociale</w:t>
      </w:r>
      <w:r w:rsidR="00B85657" w:rsidRPr="00E40B99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1CACFD58" w14:textId="77777777" w:rsidR="00E40B99" w:rsidRPr="00B86D5D" w:rsidRDefault="00E40B99" w:rsidP="00B86D5D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sz w:val="10"/>
          <w:szCs w:val="22"/>
        </w:rPr>
      </w:pPr>
    </w:p>
    <w:p w14:paraId="2A13A76F" w14:textId="77777777" w:rsidR="00EF3963" w:rsidRPr="0020662E" w:rsidRDefault="00EF3963" w:rsidP="00EF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0662E">
        <w:rPr>
          <w:rFonts w:asciiTheme="minorHAnsi" w:hAnsiTheme="minorHAnsi" w:cstheme="minorHAnsi"/>
          <w:sz w:val="20"/>
          <w:szCs w:val="20"/>
        </w:rPr>
        <w:t>Condizione dei qualificati e dei diplomati della IeFP a circa 3 anni dal completamento del percorso – anno 2018 (val. %)</w:t>
      </w:r>
    </w:p>
    <w:p w14:paraId="4F0B0A77" w14:textId="77777777" w:rsidR="00EF3963" w:rsidRDefault="00EF3963" w:rsidP="00EF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35B0">
        <w:rPr>
          <w:rFonts w:ascii="Calibri" w:eastAsia="Times New Roman" w:hAnsi="Calibri" w:cs="Times New Roman"/>
          <w:noProof/>
          <w:kern w:val="32"/>
          <w:sz w:val="21"/>
          <w:szCs w:val="20"/>
        </w:rPr>
        <w:drawing>
          <wp:inline distT="0" distB="0" distL="0" distR="0" wp14:anchorId="686FD1E9" wp14:editId="24D4B768">
            <wp:extent cx="4455160" cy="2266950"/>
            <wp:effectExtent l="0" t="0" r="2540" b="0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59D5975" w14:textId="77777777" w:rsidR="00EF3963" w:rsidRPr="0020662E" w:rsidRDefault="00EF3963" w:rsidP="00EF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0662E">
        <w:rPr>
          <w:rFonts w:asciiTheme="minorHAnsi" w:hAnsiTheme="minorHAnsi" w:cstheme="minorHAnsi"/>
          <w:sz w:val="18"/>
          <w:szCs w:val="18"/>
        </w:rPr>
        <w:t>Fonte: Inapp (2021)</w:t>
      </w:r>
    </w:p>
    <w:p w14:paraId="38A6D04F" w14:textId="0D590C64" w:rsidR="005A19ED" w:rsidRPr="00B86D5D" w:rsidRDefault="005A19ED">
      <w:pPr>
        <w:rPr>
          <w:rFonts w:asciiTheme="minorHAnsi" w:hAnsiTheme="minorHAnsi" w:cstheme="minorHAnsi"/>
          <w:sz w:val="20"/>
        </w:rPr>
      </w:pPr>
    </w:p>
    <w:p w14:paraId="693C13E8" w14:textId="77777777" w:rsidR="004C6D01" w:rsidRPr="00B86D5D" w:rsidRDefault="004C6D01" w:rsidP="004C6D01">
      <w:pPr>
        <w:jc w:val="both"/>
        <w:rPr>
          <w:rFonts w:asciiTheme="majorHAnsi" w:hAnsiTheme="majorHAnsi" w:cstheme="majorHAnsi"/>
          <w:sz w:val="22"/>
        </w:rPr>
      </w:pPr>
      <w:r w:rsidRPr="00B86D5D">
        <w:rPr>
          <w:rFonts w:asciiTheme="majorHAnsi" w:hAnsiTheme="majorHAnsi" w:cstheme="majorHAnsi"/>
          <w:sz w:val="22"/>
        </w:rPr>
        <w:t>Per maggiori informazioni:</w:t>
      </w:r>
    </w:p>
    <w:p w14:paraId="40D4881E" w14:textId="77777777" w:rsidR="004C6D01" w:rsidRPr="00B86D5D" w:rsidRDefault="004C6D01" w:rsidP="004C6D01">
      <w:pPr>
        <w:jc w:val="both"/>
        <w:rPr>
          <w:rFonts w:asciiTheme="majorHAnsi" w:hAnsiTheme="majorHAnsi" w:cstheme="majorHAnsi"/>
          <w:sz w:val="22"/>
        </w:rPr>
      </w:pPr>
      <w:r w:rsidRPr="00B86D5D">
        <w:rPr>
          <w:rFonts w:asciiTheme="majorHAnsi" w:hAnsiTheme="majorHAnsi" w:cstheme="majorHAnsi"/>
          <w:sz w:val="22"/>
        </w:rPr>
        <w:t>Giancarlo Salemi</w:t>
      </w:r>
    </w:p>
    <w:p w14:paraId="3476C2C3" w14:textId="77777777" w:rsidR="004C6D01" w:rsidRPr="00B86D5D" w:rsidRDefault="004C6D01" w:rsidP="004C6D01">
      <w:pPr>
        <w:jc w:val="both"/>
        <w:rPr>
          <w:rFonts w:asciiTheme="majorHAnsi" w:hAnsiTheme="majorHAnsi" w:cstheme="majorHAnsi"/>
          <w:sz w:val="22"/>
        </w:rPr>
      </w:pPr>
      <w:r w:rsidRPr="00B86D5D">
        <w:rPr>
          <w:rFonts w:asciiTheme="majorHAnsi" w:hAnsiTheme="majorHAnsi" w:cstheme="majorHAnsi"/>
          <w:sz w:val="22"/>
        </w:rPr>
        <w:t>Portavoce Presidente INAPP (347 6312823)</w:t>
      </w:r>
    </w:p>
    <w:p w14:paraId="588412C3" w14:textId="6650A843" w:rsidR="003A7149" w:rsidRPr="00B86D5D" w:rsidRDefault="00B86D5D" w:rsidP="00E40B99">
      <w:pPr>
        <w:jc w:val="both"/>
        <w:rPr>
          <w:rFonts w:asciiTheme="majorHAnsi" w:hAnsiTheme="majorHAnsi" w:cstheme="majorHAnsi"/>
          <w:sz w:val="22"/>
        </w:rPr>
      </w:pPr>
      <w:hyperlink r:id="rId6" w:history="1">
        <w:r w:rsidR="004C6D01" w:rsidRPr="00B86D5D">
          <w:rPr>
            <w:rStyle w:val="Collegamentoipertestuale"/>
            <w:rFonts w:asciiTheme="majorHAnsi" w:hAnsiTheme="majorHAnsi" w:cstheme="majorHAnsi"/>
            <w:sz w:val="22"/>
          </w:rPr>
          <w:t>stampa@inapp.org</w:t>
        </w:r>
      </w:hyperlink>
      <w:r w:rsidR="004C6D01" w:rsidRPr="00B86D5D">
        <w:rPr>
          <w:rFonts w:asciiTheme="majorHAnsi" w:hAnsiTheme="majorHAnsi" w:cstheme="majorHAnsi"/>
          <w:sz w:val="22"/>
        </w:rPr>
        <w:t xml:space="preserve"> </w:t>
      </w:r>
      <w:bookmarkStart w:id="0" w:name="_GoBack"/>
      <w:bookmarkEnd w:id="0"/>
    </w:p>
    <w:sectPr w:rsidR="003A7149" w:rsidRPr="00B86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8E"/>
    <w:rsid w:val="00031126"/>
    <w:rsid w:val="000A3660"/>
    <w:rsid w:val="000E476D"/>
    <w:rsid w:val="000F5145"/>
    <w:rsid w:val="00111CE3"/>
    <w:rsid w:val="001434F6"/>
    <w:rsid w:val="001F51E1"/>
    <w:rsid w:val="0020662E"/>
    <w:rsid w:val="00246A7B"/>
    <w:rsid w:val="00251A60"/>
    <w:rsid w:val="0035246F"/>
    <w:rsid w:val="00353750"/>
    <w:rsid w:val="003D35B0"/>
    <w:rsid w:val="003F5593"/>
    <w:rsid w:val="00471469"/>
    <w:rsid w:val="004B1703"/>
    <w:rsid w:val="004C6D01"/>
    <w:rsid w:val="00525DF4"/>
    <w:rsid w:val="00533C8E"/>
    <w:rsid w:val="00571339"/>
    <w:rsid w:val="005A19ED"/>
    <w:rsid w:val="005B017B"/>
    <w:rsid w:val="005E3415"/>
    <w:rsid w:val="00605332"/>
    <w:rsid w:val="0065763E"/>
    <w:rsid w:val="00765BD7"/>
    <w:rsid w:val="007C16BF"/>
    <w:rsid w:val="007C4443"/>
    <w:rsid w:val="00825FA1"/>
    <w:rsid w:val="00835887"/>
    <w:rsid w:val="00890A4B"/>
    <w:rsid w:val="008C393D"/>
    <w:rsid w:val="00931A7D"/>
    <w:rsid w:val="00954891"/>
    <w:rsid w:val="009D1922"/>
    <w:rsid w:val="00A45BAB"/>
    <w:rsid w:val="00A57DC3"/>
    <w:rsid w:val="00B27D18"/>
    <w:rsid w:val="00B34CF8"/>
    <w:rsid w:val="00B85657"/>
    <w:rsid w:val="00B86D5D"/>
    <w:rsid w:val="00B9546E"/>
    <w:rsid w:val="00B9702D"/>
    <w:rsid w:val="00BE6D03"/>
    <w:rsid w:val="00C66AEC"/>
    <w:rsid w:val="00C67CCA"/>
    <w:rsid w:val="00CD10BE"/>
    <w:rsid w:val="00DE0213"/>
    <w:rsid w:val="00DF26CB"/>
    <w:rsid w:val="00E12238"/>
    <w:rsid w:val="00E40B99"/>
    <w:rsid w:val="00EF1751"/>
    <w:rsid w:val="00E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BA53"/>
  <w15:chartTrackingRefBased/>
  <w15:docId w15:val="{DC967111-01ED-4C40-839B-9C825162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415"/>
    <w:rPr>
      <w:rFonts w:ascii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415"/>
    <w:pPr>
      <w:ind w:left="720"/>
      <w:contextualSpacing/>
    </w:pPr>
    <w:rPr>
      <w:rFonts w:eastAsia="Times New Roman" w:cs="Times New Roman"/>
    </w:rPr>
  </w:style>
  <w:style w:type="paragraph" w:styleId="NormaleWeb">
    <w:name w:val="Normal (Web)"/>
    <w:basedOn w:val="Normale"/>
    <w:uiPriority w:val="99"/>
    <w:unhideWhenUsed/>
    <w:rsid w:val="00533C8E"/>
    <w:pPr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6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62E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6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inapp.org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6068531282209498"/>
          <c:y val="6.0845756008518414E-3"/>
          <c:w val="0.60666404900634097"/>
          <c:h val="0.8121380096730379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Foglio1!$B$4</c:f>
              <c:strCache>
                <c:ptCount val="1"/>
                <c:pt idx="0">
                  <c:v>Qualificati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7777777777778434E-3"/>
                  <c:y val="3.7037037037037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E82-5C42-AC47-2645B2243E45}"/>
                </c:ext>
              </c:extLst>
            </c:dLbl>
            <c:dLbl>
              <c:idx val="1"/>
              <c:layout>
                <c:manualLayout>
                  <c:x val="-1.0185067526416285E-16"/>
                  <c:y val="2.3148148148148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E82-5C42-AC47-2645B2243E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Foglio1!$A$5:$A$10</c:f>
              <c:strCache>
                <c:ptCount val="6"/>
                <c:pt idx="0">
                  <c:v>Occupati</c:v>
                </c:pt>
                <c:pt idx="1">
                  <c:v>Disoccupati in cerca di lavoro</c:v>
                </c:pt>
                <c:pt idx="2">
                  <c:v>In cerca del primo impiego</c:v>
                </c:pt>
                <c:pt idx="3">
                  <c:v>In formazione</c:v>
                </c:pt>
                <c:pt idx="4">
                  <c:v>Impegnati</c:v>
                </c:pt>
                <c:pt idx="5">
                  <c:v>Inattivi</c:v>
                </c:pt>
              </c:strCache>
            </c:strRef>
          </c:cat>
          <c:val>
            <c:numRef>
              <c:f>Foglio1!$B$5:$B$10</c:f>
              <c:numCache>
                <c:formatCode>General</c:formatCode>
                <c:ptCount val="6"/>
                <c:pt idx="0">
                  <c:v>62.2</c:v>
                </c:pt>
                <c:pt idx="1">
                  <c:v>12.9</c:v>
                </c:pt>
                <c:pt idx="2">
                  <c:v>9.8000000000000007</c:v>
                </c:pt>
                <c:pt idx="3">
                  <c:v>8.8000000000000007</c:v>
                </c:pt>
                <c:pt idx="4" formatCode="0.0">
                  <c:v>2</c:v>
                </c:pt>
                <c:pt idx="5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82-5C42-AC47-2645B2243E45}"/>
            </c:ext>
          </c:extLst>
        </c:ser>
        <c:ser>
          <c:idx val="1"/>
          <c:order val="1"/>
          <c:tx>
            <c:strRef>
              <c:f>Foglio1!$C$4</c:f>
              <c:strCache>
                <c:ptCount val="1"/>
                <c:pt idx="0">
                  <c:v>Diplomati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Foglio1!$A$5:$A$10</c:f>
              <c:strCache>
                <c:ptCount val="6"/>
                <c:pt idx="0">
                  <c:v>Occupati</c:v>
                </c:pt>
                <c:pt idx="1">
                  <c:v>Disoccupati in cerca di lavoro</c:v>
                </c:pt>
                <c:pt idx="2">
                  <c:v>In cerca del primo impiego</c:v>
                </c:pt>
                <c:pt idx="3">
                  <c:v>In formazione</c:v>
                </c:pt>
                <c:pt idx="4">
                  <c:v>Impegnati</c:v>
                </c:pt>
                <c:pt idx="5">
                  <c:v>Inattivi</c:v>
                </c:pt>
              </c:strCache>
            </c:strRef>
          </c:cat>
          <c:val>
            <c:numRef>
              <c:f>Foglio1!$C$5:$C$10</c:f>
              <c:numCache>
                <c:formatCode>0.0</c:formatCode>
                <c:ptCount val="6"/>
                <c:pt idx="0">
                  <c:v>69.239294710327627</c:v>
                </c:pt>
                <c:pt idx="1">
                  <c:v>12.030226700251768</c:v>
                </c:pt>
                <c:pt idx="2">
                  <c:v>6.6095717884131124</c:v>
                </c:pt>
                <c:pt idx="3">
                  <c:v>6.9420654911839312</c:v>
                </c:pt>
                <c:pt idx="4">
                  <c:v>1.2594458438287253</c:v>
                </c:pt>
                <c:pt idx="5">
                  <c:v>3.9193954659949597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82-5C42-AC47-2645B2243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4001664"/>
        <c:axId val="164012032"/>
        <c:axId val="0"/>
      </c:bar3DChart>
      <c:catAx>
        <c:axId val="1640016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012032"/>
        <c:crosses val="autoZero"/>
        <c:auto val="1"/>
        <c:lblAlgn val="ctr"/>
        <c:lblOffset val="100"/>
        <c:noMultiLvlLbl val="0"/>
      </c:catAx>
      <c:valAx>
        <c:axId val="164012032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one"/>
        <c:crossAx val="16400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3</cp:revision>
  <cp:lastPrinted>2021-08-25T08:32:00Z</cp:lastPrinted>
  <dcterms:created xsi:type="dcterms:W3CDTF">2021-08-31T13:17:00Z</dcterms:created>
  <dcterms:modified xsi:type="dcterms:W3CDTF">2021-09-01T07:55:00Z</dcterms:modified>
</cp:coreProperties>
</file>